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741CD" w14:textId="77777777" w:rsidR="0099240C" w:rsidRDefault="0099240C">
      <w:pPr>
        <w:rPr>
          <w:rFonts w:ascii="黑体" w:eastAsia="黑体" w:hAnsi="黑体" w:hint="eastAsia"/>
          <w:sz w:val="32"/>
          <w:szCs w:val="32"/>
        </w:rPr>
      </w:pPr>
    </w:p>
    <w:p w14:paraId="1AF44B56" w14:textId="77777777" w:rsidR="0099240C" w:rsidRDefault="0099240C">
      <w:pPr>
        <w:jc w:val="center"/>
        <w:rPr>
          <w:rFonts w:ascii="方正小标宋_GBK" w:eastAsia="方正小标宋_GBK" w:hAnsi="宋体" w:hint="eastAsia"/>
          <w:sz w:val="44"/>
          <w:szCs w:val="44"/>
        </w:rPr>
      </w:pPr>
    </w:p>
    <w:p w14:paraId="28FAF171" w14:textId="77777777" w:rsidR="0099240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木垒哈萨克自治县幼儿园</w:t>
      </w:r>
    </w:p>
    <w:p w14:paraId="3E0D55AA" w14:textId="1622AA31" w:rsidR="0099240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09C3DE4" w14:textId="77777777" w:rsidR="0099240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4FF1338" w14:textId="77777777" w:rsidR="0099240C"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8911871" w14:textId="77777777" w:rsidR="0099240C"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163A3BC" w14:textId="77777777" w:rsidR="0099240C"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68D205E"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F1F6B0C"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35A8E57" w14:textId="77777777" w:rsidR="0099240C"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413777F"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9DC1F72"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CAF5039"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CA5858F"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5017354"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3B20FB7"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111D426"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404623C"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7398CFC" w14:textId="77777777" w:rsidR="0099240C"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5E27CAF"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CD616F1" w14:textId="77777777" w:rsidR="0099240C"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C3B25CB" w14:textId="77777777" w:rsidR="0099240C"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425BB88" w14:textId="77777777" w:rsidR="0099240C"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69821A0"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54EF36E"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0DDA9FE" w14:textId="77777777" w:rsidR="0099240C"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2CF1F62" w14:textId="77777777" w:rsidR="0099240C"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EF3CF96"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A6FA2C2"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7C3AA4B"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868D377"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8855C5D"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F35375A"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79929D2"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9E64AFC" w14:textId="77777777" w:rsidR="0099240C"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2D77C65" w14:textId="77777777" w:rsidR="0099240C"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FCBCFD0" w14:textId="77777777" w:rsidR="0099240C" w:rsidRDefault="00000000">
      <w:r>
        <w:rPr>
          <w:rFonts w:ascii="仿宋_GB2312" w:eastAsia="仿宋_GB2312" w:hAnsi="仿宋_GB2312" w:cs="仿宋_GB2312" w:hint="eastAsia"/>
          <w:sz w:val="32"/>
          <w:szCs w:val="32"/>
        </w:rPr>
        <w:fldChar w:fldCharType="end"/>
      </w:r>
    </w:p>
    <w:p w14:paraId="68F01CFA" w14:textId="77777777" w:rsidR="0099240C" w:rsidRDefault="00000000">
      <w:pPr>
        <w:rPr>
          <w:rFonts w:ascii="仿宋_GB2312" w:eastAsia="仿宋_GB2312"/>
          <w:sz w:val="32"/>
          <w:szCs w:val="32"/>
        </w:rPr>
      </w:pPr>
      <w:r>
        <w:rPr>
          <w:rFonts w:ascii="仿宋_GB2312" w:eastAsia="仿宋_GB2312" w:hint="eastAsia"/>
          <w:sz w:val="32"/>
          <w:szCs w:val="32"/>
        </w:rPr>
        <w:br w:type="page"/>
      </w:r>
    </w:p>
    <w:p w14:paraId="5E949F6D" w14:textId="77777777" w:rsidR="0099240C"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6B4F510" w14:textId="77777777" w:rsidR="0099240C"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72A1FD5" w14:textId="4FA10A1A" w:rsidR="0099240C" w:rsidRDefault="000A263C">
      <w:pPr>
        <w:ind w:firstLineChars="200" w:firstLine="640"/>
        <w:jc w:val="left"/>
        <w:rPr>
          <w:rFonts w:ascii="仿宋_GB2312" w:eastAsia="仿宋_GB2312"/>
          <w:sz w:val="32"/>
          <w:szCs w:val="32"/>
        </w:rPr>
      </w:pPr>
      <w:r>
        <w:rPr>
          <w:rFonts w:ascii="仿宋_GB2312" w:eastAsia="仿宋_GB2312" w:hAnsi="黑体" w:cs="宋体" w:hint="eastAsia"/>
          <w:bCs/>
          <w:kern w:val="0"/>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Pr>
          <w:rFonts w:ascii="仿宋_GB2312" w:eastAsia="仿宋_GB2312" w:hint="eastAsia"/>
          <w:sz w:val="32"/>
          <w:szCs w:val="32"/>
        </w:rPr>
        <w:t>。</w:t>
      </w:r>
    </w:p>
    <w:p w14:paraId="561410FC" w14:textId="77777777" w:rsidR="0099240C"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ADC6EE2" w14:textId="77777777" w:rsidR="0099240C" w:rsidRPr="000A263C" w:rsidRDefault="00000000">
      <w:pPr>
        <w:ind w:firstLineChars="200" w:firstLine="640"/>
        <w:jc w:val="left"/>
        <w:rPr>
          <w:rFonts w:ascii="仿宋_GB2312" w:eastAsia="仿宋_GB2312" w:hAnsi="黑体" w:cs="宋体" w:hint="eastAsia"/>
          <w:bCs/>
          <w:kern w:val="0"/>
          <w:sz w:val="32"/>
          <w:szCs w:val="32"/>
        </w:rPr>
      </w:pPr>
      <w:r>
        <w:rPr>
          <w:rFonts w:ascii="仿宋_GB2312" w:eastAsia="仿宋_GB2312" w:hint="eastAsia"/>
          <w:sz w:val="32"/>
          <w:szCs w:val="32"/>
        </w:rPr>
        <w:t>木垒哈萨克自治县幼儿园2023年度，实有人数</w:t>
      </w:r>
      <w:r>
        <w:rPr>
          <w:rFonts w:ascii="仿宋_GB2312" w:eastAsia="仿宋_GB2312" w:hint="eastAsia"/>
          <w:sz w:val="32"/>
          <w:szCs w:val="32"/>
          <w:lang w:val="zh-CN"/>
        </w:rPr>
        <w:t>74</w:t>
      </w:r>
      <w:r>
        <w:rPr>
          <w:rFonts w:ascii="仿宋_GB2312" w:eastAsia="仿宋_GB2312" w:hint="eastAsia"/>
          <w:sz w:val="32"/>
          <w:szCs w:val="32"/>
        </w:rPr>
        <w:t>人，</w:t>
      </w:r>
      <w:r w:rsidRPr="000A263C">
        <w:rPr>
          <w:rFonts w:ascii="仿宋_GB2312" w:eastAsia="仿宋_GB2312" w:hAnsi="黑体" w:cs="宋体" w:hint="eastAsia"/>
          <w:bCs/>
          <w:kern w:val="0"/>
          <w:sz w:val="32"/>
          <w:szCs w:val="32"/>
        </w:rPr>
        <w:t>其中：在职人员40人，离休人员0人，退休人员34人。</w:t>
      </w:r>
    </w:p>
    <w:p w14:paraId="7AA4196D" w14:textId="6E810DA4" w:rsidR="0099240C" w:rsidRPr="000A263C" w:rsidRDefault="00000000">
      <w:pPr>
        <w:ind w:firstLineChars="200" w:firstLine="640"/>
        <w:rPr>
          <w:rFonts w:ascii="仿宋_GB2312" w:eastAsia="仿宋_GB2312" w:hAnsi="黑体" w:cs="宋体" w:hint="eastAsia"/>
          <w:bCs/>
          <w:kern w:val="0"/>
          <w:sz w:val="32"/>
          <w:szCs w:val="32"/>
        </w:rPr>
        <w:sectPr w:rsidR="0099240C" w:rsidRPr="000A263C">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0A263C" w:rsidRPr="000A263C">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个处室，分别是：</w:t>
      </w:r>
      <w:r w:rsidR="000A263C" w:rsidRPr="000A263C">
        <w:rPr>
          <w:rFonts w:ascii="仿宋_GB2312" w:eastAsia="仿宋_GB2312" w:hAnsi="黑体" w:cs="宋体" w:hint="eastAsia"/>
          <w:bCs/>
          <w:kern w:val="0"/>
          <w:sz w:val="32"/>
          <w:szCs w:val="32"/>
        </w:rPr>
        <w:t>教务室、总务室、财务室、德育室</w:t>
      </w:r>
      <w:r w:rsidRPr="000A263C">
        <w:rPr>
          <w:rFonts w:ascii="仿宋_GB2312" w:eastAsia="仿宋_GB2312" w:hAnsi="黑体" w:cs="宋体" w:hint="eastAsia"/>
          <w:bCs/>
          <w:kern w:val="0"/>
          <w:sz w:val="32"/>
          <w:szCs w:val="32"/>
        </w:rPr>
        <w:t>。</w:t>
      </w:r>
    </w:p>
    <w:p w14:paraId="047067BB" w14:textId="77777777" w:rsidR="0099240C"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7483198" w14:textId="77777777" w:rsidR="0099240C"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7A38B0E"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2023年度收入总计953.91万元，其中：本年收入合计948.67万元，使用非财政拨款结余0.00万元，年初结转和结余5.23万元。</w:t>
      </w:r>
    </w:p>
    <w:p w14:paraId="381A7513"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2023年度支出总计953.91万元，其中：本年支出合计948.42万元，结余分配0.00万元，年末结转和结余5.49万元。</w:t>
      </w:r>
    </w:p>
    <w:p w14:paraId="6A0A1D56" w14:textId="14B79D71"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增加98.71万元</w:t>
      </w:r>
      <w:r>
        <w:rPr>
          <w:rFonts w:ascii="仿宋_GB2312" w:eastAsia="仿宋_GB2312" w:hint="eastAsia"/>
          <w:sz w:val="32"/>
          <w:szCs w:val="32"/>
        </w:rPr>
        <w:t>，增长11.54%，主要原因是：</w:t>
      </w:r>
      <w:r w:rsidR="000A263C">
        <w:rPr>
          <w:rFonts w:ascii="仿宋_GB2312" w:eastAsia="仿宋_GB2312" w:hint="eastAsia"/>
          <w:sz w:val="32"/>
          <w:szCs w:val="32"/>
        </w:rPr>
        <w:t>工资福利支出正常调整标准、调整艰苦边远地区津贴增加</w:t>
      </w:r>
      <w:r>
        <w:rPr>
          <w:rFonts w:ascii="仿宋_GB2312" w:eastAsia="仿宋_GB2312" w:hint="eastAsia"/>
          <w:sz w:val="32"/>
          <w:szCs w:val="32"/>
        </w:rPr>
        <w:t>。</w:t>
      </w:r>
    </w:p>
    <w:p w14:paraId="2114585E" w14:textId="77777777" w:rsidR="0099240C"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48EC5BF"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本年收入948.67万元，其中：财政拨款收入</w:t>
      </w:r>
      <w:r>
        <w:rPr>
          <w:rFonts w:ascii="仿宋_GB2312" w:eastAsia="仿宋_GB2312" w:hint="eastAsia"/>
          <w:sz w:val="32"/>
          <w:szCs w:val="32"/>
          <w:lang w:val="zh-CN"/>
        </w:rPr>
        <w:t>947.86</w:t>
      </w:r>
      <w:r>
        <w:rPr>
          <w:rFonts w:ascii="仿宋_GB2312" w:eastAsia="仿宋_GB2312" w:hint="eastAsia"/>
          <w:sz w:val="32"/>
          <w:szCs w:val="32"/>
        </w:rPr>
        <w:t>万元，占</w:t>
      </w:r>
      <w:r>
        <w:rPr>
          <w:rFonts w:ascii="仿宋_GB2312" w:eastAsia="仿宋_GB2312" w:hint="eastAsia"/>
          <w:sz w:val="32"/>
          <w:szCs w:val="32"/>
          <w:lang w:val="zh-CN"/>
        </w:rPr>
        <w:t>99.91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0.81</w:t>
      </w:r>
      <w:r>
        <w:rPr>
          <w:rFonts w:ascii="仿宋_GB2312" w:eastAsia="仿宋_GB2312" w:hint="eastAsia"/>
          <w:sz w:val="32"/>
          <w:szCs w:val="32"/>
        </w:rPr>
        <w:t>万元，占</w:t>
      </w:r>
      <w:r>
        <w:rPr>
          <w:rFonts w:ascii="仿宋_GB2312" w:eastAsia="仿宋_GB2312" w:hint="eastAsia"/>
          <w:sz w:val="32"/>
          <w:szCs w:val="32"/>
          <w:lang w:val="zh-CN"/>
        </w:rPr>
        <w:t>0.09</w:t>
      </w:r>
      <w:r>
        <w:rPr>
          <w:rFonts w:ascii="仿宋_GB2312" w:eastAsia="仿宋_GB2312" w:hint="eastAsia"/>
          <w:sz w:val="32"/>
          <w:szCs w:val="32"/>
        </w:rPr>
        <w:t>%。</w:t>
      </w:r>
    </w:p>
    <w:p w14:paraId="144501B0" w14:textId="77777777" w:rsidR="0099240C"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65E737C" w14:textId="77777777"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本年支出948.42万元，其中：基本支出809.99万元，占85.40%；项目支出138.43万元，占14.60%；上缴上级支出0.00万元，占0.00%；经营支出0.00万元，占0.00%；对附属单位补助支出0.00万元，占0.00%。</w:t>
      </w:r>
    </w:p>
    <w:p w14:paraId="60813EE0" w14:textId="77777777" w:rsidR="0099240C"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956079E"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947.86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947.86</w:t>
      </w:r>
      <w:r>
        <w:rPr>
          <w:rFonts w:ascii="仿宋_GB2312" w:eastAsia="仿宋_GB2312" w:hint="eastAsia"/>
          <w:sz w:val="32"/>
          <w:szCs w:val="32"/>
        </w:rPr>
        <w:t>万元。财政拨款支出总计</w:t>
      </w:r>
      <w:r>
        <w:rPr>
          <w:rFonts w:ascii="仿宋_GB2312" w:eastAsia="仿宋_GB2312" w:hint="eastAsia"/>
          <w:sz w:val="32"/>
          <w:szCs w:val="32"/>
          <w:lang w:val="zh-CN"/>
        </w:rPr>
        <w:t>947.86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947.86</w:t>
      </w:r>
      <w:r>
        <w:rPr>
          <w:rFonts w:ascii="仿宋_GB2312" w:eastAsia="仿宋_GB2312" w:hint="eastAsia"/>
          <w:sz w:val="32"/>
          <w:szCs w:val="32"/>
        </w:rPr>
        <w:t>万元。</w:t>
      </w:r>
    </w:p>
    <w:p w14:paraId="546F15FC" w14:textId="4AE7DDFC"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增加103.96万元</w:t>
      </w:r>
      <w:r>
        <w:rPr>
          <w:rFonts w:ascii="仿宋_GB2312" w:eastAsia="仿宋_GB2312" w:hint="eastAsia"/>
          <w:sz w:val="32"/>
          <w:szCs w:val="32"/>
        </w:rPr>
        <w:t>，增长12.32%,主要原因是：</w:t>
      </w:r>
      <w:r w:rsidR="000A263C">
        <w:rPr>
          <w:rFonts w:ascii="仿宋_GB2312" w:eastAsia="仿宋_GB2312" w:hint="eastAsia"/>
          <w:sz w:val="32"/>
          <w:szCs w:val="32"/>
        </w:rPr>
        <w:t>工资福利支出正常调整标准、调整艰苦边远地区津贴增加</w:t>
      </w:r>
      <w:r>
        <w:rPr>
          <w:rFonts w:ascii="仿宋_GB2312" w:eastAsia="仿宋_GB2312" w:hint="eastAsia"/>
          <w:sz w:val="32"/>
          <w:szCs w:val="32"/>
        </w:rPr>
        <w:t>。与年初预算相比，年初预算数</w:t>
      </w:r>
      <w:r>
        <w:rPr>
          <w:rFonts w:ascii="仿宋_GB2312" w:eastAsia="仿宋_GB2312" w:hint="eastAsia"/>
          <w:sz w:val="32"/>
          <w:szCs w:val="32"/>
          <w:lang w:val="zh-CN"/>
        </w:rPr>
        <w:t>799.46</w:t>
      </w:r>
      <w:r>
        <w:rPr>
          <w:rFonts w:ascii="仿宋_GB2312" w:eastAsia="仿宋_GB2312" w:hint="eastAsia"/>
          <w:sz w:val="32"/>
          <w:szCs w:val="32"/>
        </w:rPr>
        <w:t>万元，决算数</w:t>
      </w:r>
      <w:r>
        <w:rPr>
          <w:rFonts w:ascii="仿宋_GB2312" w:eastAsia="仿宋_GB2312" w:hint="eastAsia"/>
          <w:sz w:val="32"/>
          <w:szCs w:val="32"/>
          <w:lang w:val="zh-CN"/>
        </w:rPr>
        <w:t>947.86</w:t>
      </w:r>
      <w:r>
        <w:rPr>
          <w:rFonts w:ascii="仿宋_GB2312" w:eastAsia="仿宋_GB2312" w:hint="eastAsia"/>
          <w:sz w:val="32"/>
          <w:szCs w:val="32"/>
        </w:rPr>
        <w:t>万元，预决算差异率18.56%，主要原因是：</w:t>
      </w:r>
      <w:r w:rsidR="00AE3C32">
        <w:rPr>
          <w:rFonts w:ascii="仿宋_GB2312" w:eastAsia="仿宋_GB2312" w:hint="eastAsia"/>
          <w:sz w:val="32"/>
          <w:szCs w:val="32"/>
        </w:rPr>
        <w:t>本年</w:t>
      </w:r>
      <w:r w:rsidR="000A263C">
        <w:rPr>
          <w:rFonts w:ascii="仿宋_GB2312" w:eastAsia="仿宋_GB2312" w:hint="eastAsia"/>
          <w:sz w:val="32"/>
          <w:szCs w:val="32"/>
        </w:rPr>
        <w:t>追加校园维修项目经费</w:t>
      </w:r>
      <w:r>
        <w:rPr>
          <w:rFonts w:ascii="仿宋_GB2312" w:eastAsia="仿宋_GB2312" w:hint="eastAsia"/>
          <w:sz w:val="32"/>
          <w:szCs w:val="32"/>
        </w:rPr>
        <w:t>。</w:t>
      </w:r>
    </w:p>
    <w:p w14:paraId="44AB395E" w14:textId="77777777" w:rsidR="0099240C"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7C4964C" w14:textId="77777777" w:rsidR="0099240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BC6E8EE" w14:textId="3C3BF1A0" w:rsidR="0099240C"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2023年度一般公共预算财政拨款支出947.86万元，占本年支出合计的</w:t>
      </w:r>
      <w:r>
        <w:rPr>
          <w:rFonts w:ascii="仿宋_GB2312" w:eastAsia="仿宋_GB2312" w:hint="eastAsia"/>
          <w:sz w:val="32"/>
          <w:szCs w:val="32"/>
          <w:lang w:val="zh-CN"/>
        </w:rPr>
        <w:t>99.94%</w:t>
      </w:r>
      <w:r>
        <w:rPr>
          <w:rFonts w:ascii="仿宋_GB2312" w:eastAsia="仿宋_GB2312" w:hint="eastAsia"/>
          <w:sz w:val="32"/>
          <w:szCs w:val="32"/>
        </w:rPr>
        <w:t>。与上年相比，</w:t>
      </w:r>
      <w:r>
        <w:rPr>
          <w:rFonts w:ascii="仿宋_GB2312" w:eastAsia="仿宋_GB2312" w:hint="eastAsia"/>
          <w:sz w:val="32"/>
          <w:szCs w:val="32"/>
          <w:lang w:val="zh-CN"/>
        </w:rPr>
        <w:t>增加103.96万元</w:t>
      </w:r>
      <w:r>
        <w:rPr>
          <w:rFonts w:ascii="仿宋_GB2312" w:eastAsia="仿宋_GB2312" w:hint="eastAsia"/>
          <w:sz w:val="32"/>
          <w:szCs w:val="32"/>
        </w:rPr>
        <w:t>，增长12.32%,主要原因是：</w:t>
      </w:r>
      <w:r w:rsidR="000A263C">
        <w:rPr>
          <w:rFonts w:ascii="仿宋_GB2312" w:eastAsia="仿宋_GB2312" w:hint="eastAsia"/>
          <w:sz w:val="32"/>
          <w:szCs w:val="32"/>
        </w:rPr>
        <w:t>工资福利支出正常调整标准、调整艰苦边远地区津贴增加</w:t>
      </w:r>
      <w:r>
        <w:rPr>
          <w:rFonts w:ascii="仿宋_GB2312" w:eastAsia="仿宋_GB2312" w:hint="eastAsia"/>
          <w:sz w:val="32"/>
          <w:szCs w:val="32"/>
        </w:rPr>
        <w:t>。与年初预算相比，年初预算数</w:t>
      </w:r>
      <w:r>
        <w:rPr>
          <w:rFonts w:ascii="仿宋_GB2312" w:eastAsia="仿宋_GB2312" w:hint="eastAsia"/>
          <w:sz w:val="32"/>
          <w:szCs w:val="32"/>
          <w:lang w:val="zh-CN"/>
        </w:rPr>
        <w:t>799.46</w:t>
      </w:r>
      <w:r>
        <w:rPr>
          <w:rFonts w:ascii="仿宋_GB2312" w:eastAsia="仿宋_GB2312" w:hint="eastAsia"/>
          <w:sz w:val="32"/>
          <w:szCs w:val="32"/>
        </w:rPr>
        <w:t>万元，决算数</w:t>
      </w:r>
      <w:r>
        <w:rPr>
          <w:rFonts w:ascii="仿宋_GB2312" w:eastAsia="仿宋_GB2312" w:hint="eastAsia"/>
          <w:sz w:val="32"/>
          <w:szCs w:val="32"/>
          <w:lang w:val="zh-CN"/>
        </w:rPr>
        <w:t>947.86</w:t>
      </w:r>
      <w:r>
        <w:rPr>
          <w:rFonts w:ascii="仿宋_GB2312" w:eastAsia="仿宋_GB2312" w:hint="eastAsia"/>
          <w:sz w:val="32"/>
          <w:szCs w:val="32"/>
        </w:rPr>
        <w:t>万元，预决算差异率</w:t>
      </w:r>
      <w:r>
        <w:rPr>
          <w:rFonts w:ascii="仿宋_GB2312" w:eastAsia="仿宋_GB2312" w:hint="eastAsia"/>
          <w:sz w:val="32"/>
          <w:szCs w:val="32"/>
          <w:lang w:val="zh-CN"/>
        </w:rPr>
        <w:t>18.56%</w:t>
      </w:r>
      <w:r>
        <w:rPr>
          <w:rFonts w:ascii="仿宋_GB2312" w:eastAsia="仿宋_GB2312" w:hint="eastAsia"/>
          <w:sz w:val="32"/>
          <w:szCs w:val="32"/>
        </w:rPr>
        <w:t>，主要原因是：</w:t>
      </w:r>
      <w:r w:rsidR="00AE3C32">
        <w:rPr>
          <w:rFonts w:ascii="仿宋_GB2312" w:eastAsia="仿宋_GB2312" w:hint="eastAsia"/>
          <w:sz w:val="32"/>
          <w:szCs w:val="32"/>
        </w:rPr>
        <w:t>本年</w:t>
      </w:r>
      <w:r w:rsidR="000A263C">
        <w:rPr>
          <w:rFonts w:ascii="仿宋_GB2312" w:eastAsia="仿宋_GB2312" w:hint="eastAsia"/>
          <w:sz w:val="32"/>
          <w:szCs w:val="32"/>
        </w:rPr>
        <w:t>追加校园维修项目经费</w:t>
      </w:r>
      <w:r>
        <w:rPr>
          <w:rFonts w:ascii="仿宋_GB2312" w:eastAsia="仿宋_GB2312" w:hint="eastAsia"/>
          <w:sz w:val="32"/>
          <w:szCs w:val="32"/>
        </w:rPr>
        <w:t>。</w:t>
      </w:r>
    </w:p>
    <w:p w14:paraId="28E2CE1A" w14:textId="77777777" w:rsidR="0099240C"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847EA0B" w14:textId="6C8C0CEA" w:rsidR="0099240C" w:rsidRDefault="000A263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921.35</w:t>
      </w:r>
      <w:r>
        <w:rPr>
          <w:rFonts w:ascii="仿宋_GB2312" w:eastAsia="仿宋_GB2312"/>
          <w:kern w:val="2"/>
          <w:sz w:val="32"/>
          <w:szCs w:val="32"/>
          <w:lang w:val="zh-CN"/>
        </w:rPr>
        <w:t>万元，占</w:t>
      </w:r>
      <w:r>
        <w:rPr>
          <w:rFonts w:ascii="仿宋_GB2312" w:eastAsia="仿宋_GB2312" w:hint="eastAsia"/>
          <w:kern w:val="2"/>
          <w:sz w:val="32"/>
          <w:szCs w:val="32"/>
          <w:lang w:val="zh-CN"/>
        </w:rPr>
        <w:t>97.20</w:t>
      </w:r>
      <w:r>
        <w:rPr>
          <w:rFonts w:ascii="仿宋_GB2312" w:eastAsia="仿宋_GB2312"/>
          <w:kern w:val="2"/>
          <w:sz w:val="32"/>
          <w:szCs w:val="32"/>
          <w:lang w:val="zh-CN"/>
        </w:rPr>
        <w:t>%；</w:t>
      </w:r>
    </w:p>
    <w:p w14:paraId="238BA3F2" w14:textId="14471B1C" w:rsidR="0099240C" w:rsidRDefault="000A263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26.51</w:t>
      </w:r>
      <w:r>
        <w:rPr>
          <w:rFonts w:ascii="仿宋_GB2312" w:eastAsia="仿宋_GB2312"/>
          <w:kern w:val="2"/>
          <w:sz w:val="32"/>
          <w:szCs w:val="32"/>
          <w:lang w:val="zh-CN"/>
        </w:rPr>
        <w:t>万元，占</w:t>
      </w:r>
      <w:r>
        <w:rPr>
          <w:rFonts w:ascii="仿宋_GB2312" w:eastAsia="仿宋_GB2312" w:hint="eastAsia"/>
          <w:kern w:val="2"/>
          <w:sz w:val="32"/>
          <w:szCs w:val="32"/>
          <w:lang w:val="zh-CN"/>
        </w:rPr>
        <w:t>2.80</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69A952A" w14:textId="77777777" w:rsidR="0099240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3594280" w14:textId="31F12725"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lastRenderedPageBreak/>
        <w:t>1.社会保障和就业支出（类）抚恤（款）死亡抚恤（项）:支出决算数为8.70万元，比上年决算减少6.81万元，下降43.90%，主要原因是：</w:t>
      </w:r>
      <w:r w:rsidR="000A263C" w:rsidRPr="000A263C">
        <w:rPr>
          <w:rFonts w:ascii="仿宋_GB2312" w:eastAsia="仿宋_GB2312" w:hint="eastAsia"/>
          <w:sz w:val="32"/>
          <w:szCs w:val="32"/>
        </w:rPr>
        <w:t>死亡人员减少相应抚恤金减少</w:t>
      </w:r>
      <w:r w:rsidRPr="000A263C">
        <w:rPr>
          <w:rFonts w:ascii="仿宋_GB2312" w:eastAsia="仿宋_GB2312" w:hint="eastAsia"/>
          <w:sz w:val="32"/>
          <w:szCs w:val="32"/>
        </w:rPr>
        <w:t>。</w:t>
      </w:r>
    </w:p>
    <w:p w14:paraId="725904F5" w14:textId="0A0693A2"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t>2.社会保障和就业支出（类）行政事业单位养老支出（款）事业单位离退休（项）:支出决算数为11.28万元，比上年决算增加6.29万元，增长126.01%，主要原因是：</w:t>
      </w:r>
      <w:r w:rsidR="000A263C" w:rsidRPr="000A263C">
        <w:rPr>
          <w:rFonts w:ascii="仿宋_GB2312" w:eastAsia="仿宋_GB2312" w:hint="eastAsia"/>
          <w:sz w:val="32"/>
          <w:szCs w:val="32"/>
        </w:rPr>
        <w:t>退休人员</w:t>
      </w:r>
      <w:proofErr w:type="gramStart"/>
      <w:r w:rsidR="000A263C" w:rsidRPr="000A263C">
        <w:rPr>
          <w:rFonts w:ascii="仿宋_GB2312" w:eastAsia="仿宋_GB2312" w:hint="eastAsia"/>
          <w:sz w:val="32"/>
          <w:szCs w:val="32"/>
        </w:rPr>
        <w:t>绩效奖</w:t>
      </w:r>
      <w:proofErr w:type="gramEnd"/>
      <w:r w:rsidR="000A263C" w:rsidRPr="000A263C">
        <w:rPr>
          <w:rFonts w:ascii="仿宋_GB2312" w:eastAsia="仿宋_GB2312" w:hint="eastAsia"/>
          <w:sz w:val="32"/>
          <w:szCs w:val="32"/>
        </w:rPr>
        <w:t>增加</w:t>
      </w:r>
      <w:r w:rsidRPr="000A263C">
        <w:rPr>
          <w:rFonts w:ascii="仿宋_GB2312" w:eastAsia="仿宋_GB2312" w:hint="eastAsia"/>
          <w:sz w:val="32"/>
          <w:szCs w:val="32"/>
        </w:rPr>
        <w:t>。</w:t>
      </w:r>
    </w:p>
    <w:p w14:paraId="5C2030C0" w14:textId="7855B556"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t>3.教育支出（类）普通教育（款）学前教育（项）:支出决算数为921.35万元，比上年决算增加97.95万元，增长11.90%，主要原因是：</w:t>
      </w:r>
      <w:r w:rsidR="000A263C">
        <w:rPr>
          <w:rFonts w:ascii="仿宋_GB2312" w:eastAsia="仿宋_GB2312" w:hint="eastAsia"/>
          <w:sz w:val="32"/>
          <w:szCs w:val="32"/>
        </w:rPr>
        <w:t>工资福利支出正常调整标准、调整艰苦边远地区津贴增加</w:t>
      </w:r>
      <w:r w:rsidRPr="000A263C">
        <w:rPr>
          <w:rFonts w:ascii="仿宋_GB2312" w:eastAsia="仿宋_GB2312" w:hint="eastAsia"/>
          <w:sz w:val="32"/>
          <w:szCs w:val="32"/>
        </w:rPr>
        <w:t>。</w:t>
      </w:r>
    </w:p>
    <w:p w14:paraId="59FB186E" w14:textId="7A423270"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t>4.社会保障和就业支出（类）行政事业单位养老支出（款）机关事业单位职业年金缴费支出（项）:支出决算数为6.53万元，比上年决算增加6.53万元，增长100%，主要原因是：</w:t>
      </w:r>
      <w:r w:rsidR="000A263C">
        <w:rPr>
          <w:rFonts w:eastAsia="仿宋_GB2312" w:hint="eastAsia"/>
          <w:sz w:val="32"/>
          <w:szCs w:val="32"/>
        </w:rPr>
        <w:t>退休人员增加，一次性职业年金支出增加</w:t>
      </w:r>
      <w:r w:rsidRPr="000A263C">
        <w:rPr>
          <w:rFonts w:ascii="仿宋_GB2312" w:eastAsia="仿宋_GB2312" w:hint="eastAsia"/>
          <w:sz w:val="32"/>
          <w:szCs w:val="32"/>
        </w:rPr>
        <w:t>。</w:t>
      </w:r>
    </w:p>
    <w:p w14:paraId="10E51645" w14:textId="77777777" w:rsidR="0099240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F941488" w14:textId="5895E540"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809.43万元，其中：人员经费805.24万元，包括：基本工资、津贴补贴、奖金、机关事业单位基本养老保险缴费、职业年金缴费、职工基本医疗保险缴费、其他社会保障缴费、住房公积金、退休费、抚恤金、奖励金、其他对个人和家庭的补助。</w:t>
      </w:r>
    </w:p>
    <w:p w14:paraId="0E150F85" w14:textId="5DF22DA8" w:rsidR="0099240C" w:rsidRDefault="00000000" w:rsidP="000A263C">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公用经费4.18万元，包括：水费、电费、邮电费、取</w:t>
      </w:r>
      <w:r>
        <w:rPr>
          <w:rFonts w:ascii="仿宋_GB2312" w:eastAsia="仿宋_GB2312" w:hint="eastAsia"/>
          <w:sz w:val="32"/>
          <w:szCs w:val="32"/>
        </w:rPr>
        <w:lastRenderedPageBreak/>
        <w:t>暖费</w:t>
      </w:r>
      <w:r w:rsidRPr="00AE3C32">
        <w:rPr>
          <w:rFonts w:ascii="仿宋_GB2312" w:eastAsia="仿宋_GB2312" w:hint="eastAsia"/>
          <w:sz w:val="32"/>
          <w:szCs w:val="32"/>
        </w:rPr>
        <w:t>。</w:t>
      </w:r>
    </w:p>
    <w:p w14:paraId="59011EC2" w14:textId="77777777" w:rsidR="0099240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B05D038" w14:textId="00729B75"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w:t>
      </w:r>
    </w:p>
    <w:p w14:paraId="4911C2B8" w14:textId="77777777"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967E688" w14:textId="0A6F327C"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。单位全年安排的因公出国（境）团组0个，因公出国（境）0人次。</w:t>
      </w:r>
    </w:p>
    <w:p w14:paraId="3203D982" w14:textId="45000C1D"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0A263C">
        <w:rPr>
          <w:rFonts w:ascii="仿宋_GB2312" w:eastAsia="仿宋_GB2312" w:hint="eastAsia"/>
          <w:sz w:val="32"/>
          <w:szCs w:val="32"/>
          <w:lang w:val="zh-CN"/>
        </w:rPr>
        <w:t>无差异</w:t>
      </w:r>
      <w:r>
        <w:rPr>
          <w:rFonts w:ascii="仿宋_GB2312" w:eastAsia="仿宋_GB2312" w:hint="eastAsia"/>
          <w:sz w:val="32"/>
          <w:szCs w:val="32"/>
          <w:lang w:val="zh-CN"/>
        </w:rPr>
        <w:t>。</w:t>
      </w:r>
    </w:p>
    <w:p w14:paraId="58BC0B7E" w14:textId="7F7B65AC"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。单位全年安排的国内公务接待0批次，0人次。</w:t>
      </w:r>
    </w:p>
    <w:p w14:paraId="4111D49D" w14:textId="62FEDED7"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w:t>
      </w:r>
    </w:p>
    <w:p w14:paraId="64165DD4" w14:textId="77777777" w:rsidR="0099240C"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9283F07"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500D44F" w14:textId="77777777" w:rsidR="0099240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BB89C22"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A04383F" w14:textId="77777777" w:rsidR="0099240C"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EEEA74B" w14:textId="77777777" w:rsidR="0099240C"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494E35A" w14:textId="7F1FC1C5" w:rsidR="0099240C" w:rsidRPr="000A263C" w:rsidRDefault="00000000">
      <w:pPr>
        <w:ind w:firstLineChars="200" w:firstLine="640"/>
        <w:jc w:val="left"/>
        <w:rPr>
          <w:rFonts w:ascii="仿宋_GB2312" w:eastAsia="仿宋_GB2312"/>
          <w:sz w:val="32"/>
          <w:szCs w:val="32"/>
          <w:lang w:val="zh-CN"/>
        </w:rPr>
      </w:pPr>
      <w:bookmarkStart w:id="24" w:name="_Toc227"/>
      <w:bookmarkStart w:id="25" w:name="_Toc26704"/>
      <w:r w:rsidRPr="000A263C">
        <w:rPr>
          <w:rFonts w:ascii="仿宋_GB2312" w:eastAsia="仿宋_GB2312" w:hint="eastAsia"/>
          <w:sz w:val="32"/>
          <w:szCs w:val="32"/>
          <w:lang w:val="zh-CN"/>
        </w:rPr>
        <w:t>2023年度木垒哈萨克自治县幼儿园（事业单位）公用经</w:t>
      </w:r>
      <w:r w:rsidRPr="000A263C">
        <w:rPr>
          <w:rFonts w:ascii="仿宋_GB2312" w:eastAsia="仿宋_GB2312" w:hint="eastAsia"/>
          <w:sz w:val="32"/>
          <w:szCs w:val="32"/>
          <w:lang w:val="zh-CN"/>
        </w:rPr>
        <w:lastRenderedPageBreak/>
        <w:t>费支出4.18万元，比上年增加2.31万元，增长123.78%，主要原因是：</w:t>
      </w:r>
      <w:r w:rsidR="000A263C" w:rsidRPr="000A263C">
        <w:rPr>
          <w:rFonts w:ascii="仿宋_GB2312" w:eastAsia="仿宋_GB2312" w:hint="eastAsia"/>
          <w:sz w:val="32"/>
          <w:szCs w:val="32"/>
          <w:lang w:val="zh-CN"/>
        </w:rPr>
        <w:t>校园维修费支出增加</w:t>
      </w:r>
      <w:r w:rsidRPr="000A263C">
        <w:rPr>
          <w:rFonts w:ascii="仿宋_GB2312" w:eastAsia="仿宋_GB2312" w:hint="eastAsia"/>
          <w:sz w:val="32"/>
          <w:szCs w:val="32"/>
          <w:lang w:val="zh-CN"/>
        </w:rPr>
        <w:t>。</w:t>
      </w:r>
    </w:p>
    <w:p w14:paraId="6EE2DE51" w14:textId="77777777" w:rsidR="0099240C"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077B57A" w14:textId="77777777"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2023年度政府采购支出总额8.59万元，其中：政府采购货物支出6.91万元、政府采购工程支出0.44万元、政府采购服务支出1.25万元。</w:t>
      </w:r>
    </w:p>
    <w:p w14:paraId="5B79BA19" w14:textId="77777777"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授予中小企业合同金额8.59万元，占政府采购支出总额的100.00</w:t>
      </w:r>
      <w:r w:rsidRPr="000A263C">
        <w:rPr>
          <w:rFonts w:ascii="仿宋_GB2312" w:eastAsia="仿宋_GB2312"/>
          <w:sz w:val="32"/>
          <w:szCs w:val="32"/>
          <w:lang w:val="zh-CN"/>
        </w:rPr>
        <w:t>%</w:t>
      </w:r>
      <w:r w:rsidRPr="000A263C">
        <w:rPr>
          <w:rFonts w:ascii="仿宋_GB2312" w:eastAsia="仿宋_GB2312" w:hint="eastAsia"/>
          <w:sz w:val="32"/>
          <w:szCs w:val="32"/>
          <w:lang w:val="zh-CN"/>
        </w:rPr>
        <w:t>，其中：授予小</w:t>
      </w:r>
      <w:proofErr w:type="gramStart"/>
      <w:r w:rsidRPr="000A263C">
        <w:rPr>
          <w:rFonts w:ascii="仿宋_GB2312" w:eastAsia="仿宋_GB2312" w:hint="eastAsia"/>
          <w:sz w:val="32"/>
          <w:szCs w:val="32"/>
          <w:lang w:val="zh-CN"/>
        </w:rPr>
        <w:t>微企业</w:t>
      </w:r>
      <w:proofErr w:type="gramEnd"/>
      <w:r w:rsidRPr="000A263C">
        <w:rPr>
          <w:rFonts w:ascii="仿宋_GB2312" w:eastAsia="仿宋_GB2312" w:hint="eastAsia"/>
          <w:sz w:val="32"/>
          <w:szCs w:val="32"/>
          <w:lang w:val="zh-CN"/>
        </w:rPr>
        <w:t>合同金额8.59万元，占政府采购支出总额的100.00</w:t>
      </w:r>
      <w:r w:rsidRPr="000A263C">
        <w:rPr>
          <w:rFonts w:ascii="仿宋_GB2312" w:eastAsia="仿宋_GB2312"/>
          <w:sz w:val="32"/>
          <w:szCs w:val="32"/>
          <w:lang w:val="zh-CN"/>
        </w:rPr>
        <w:t>%</w:t>
      </w:r>
      <w:r w:rsidRPr="000A263C">
        <w:rPr>
          <w:rFonts w:ascii="仿宋_GB2312" w:eastAsia="仿宋_GB2312" w:hint="eastAsia"/>
          <w:sz w:val="32"/>
          <w:szCs w:val="32"/>
          <w:lang w:val="zh-CN"/>
        </w:rPr>
        <w:t>。</w:t>
      </w:r>
    </w:p>
    <w:p w14:paraId="67E5346F" w14:textId="77777777" w:rsidR="0099240C"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F1980FB" w14:textId="7D6396B8"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截至2023年12月31日，固定资产原值754.05万元，房屋3</w:t>
      </w:r>
      <w:r w:rsidR="000A263C">
        <w:rPr>
          <w:rFonts w:ascii="仿宋_GB2312" w:eastAsia="仿宋_GB2312" w:hint="eastAsia"/>
          <w:sz w:val="32"/>
          <w:szCs w:val="32"/>
          <w:lang w:val="zh-CN"/>
        </w:rPr>
        <w:t>,</w:t>
      </w:r>
      <w:r w:rsidRPr="000A263C">
        <w:rPr>
          <w:rFonts w:ascii="仿宋_GB2312" w:eastAsia="仿宋_GB2312" w:hint="eastAsia"/>
          <w:sz w:val="32"/>
          <w:szCs w:val="32"/>
          <w:lang w:val="zh-CN"/>
        </w:rPr>
        <w:t>983.7平方米，价值547.70万元。车辆0辆，价值0.00万元，其中：副部（省）级及以上领导用车0辆、主要负责人用车0辆、机要通信用车0辆、应急保障用车0辆、执法执勤用车0辆、特种专业技术用车0辆、离退休干部服务用车0辆、其他用车0辆，其他用车主要是：</w:t>
      </w:r>
      <w:r w:rsidR="000A263C">
        <w:rPr>
          <w:rFonts w:ascii="仿宋_GB2312" w:eastAsia="仿宋_GB2312" w:hint="eastAsia"/>
          <w:sz w:val="32"/>
          <w:szCs w:val="32"/>
          <w:lang w:val="zh-CN"/>
        </w:rPr>
        <w:t>单位无其他车辆</w:t>
      </w:r>
      <w:r w:rsidRPr="000A263C">
        <w:rPr>
          <w:rFonts w:ascii="仿宋_GB2312" w:eastAsia="仿宋_GB2312" w:hint="eastAsia"/>
          <w:sz w:val="32"/>
          <w:szCs w:val="32"/>
          <w:lang w:val="zh-CN"/>
        </w:rPr>
        <w:t>；单价100万元（含）以上设备（不含车辆）0台（套）。</w:t>
      </w:r>
    </w:p>
    <w:p w14:paraId="70760448" w14:textId="77777777" w:rsidR="0099240C"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A8F3BF5" w14:textId="2F336BBC"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A263C" w:rsidRPr="000A263C">
        <w:rPr>
          <w:rFonts w:ascii="仿宋_GB2312" w:eastAsia="仿宋_GB2312"/>
          <w:sz w:val="32"/>
          <w:szCs w:val="32"/>
        </w:rPr>
        <w:t>953.91</w:t>
      </w:r>
      <w:r>
        <w:rPr>
          <w:rFonts w:ascii="仿宋_GB2312" w:eastAsia="仿宋_GB2312" w:hint="eastAsia"/>
          <w:sz w:val="32"/>
          <w:szCs w:val="32"/>
        </w:rPr>
        <w:t>万元，实际执行总额</w:t>
      </w:r>
      <w:r w:rsidR="000A263C" w:rsidRPr="000A263C">
        <w:rPr>
          <w:rFonts w:ascii="仿宋_GB2312" w:eastAsia="仿宋_GB2312"/>
          <w:sz w:val="32"/>
          <w:szCs w:val="32"/>
        </w:rPr>
        <w:t>948.42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A263C">
        <w:rPr>
          <w:rFonts w:ascii="仿宋_GB2312" w:eastAsia="仿宋_GB2312" w:hint="eastAsia"/>
          <w:sz w:val="32"/>
          <w:szCs w:val="32"/>
        </w:rPr>
        <w:t>0</w:t>
      </w:r>
      <w:r>
        <w:rPr>
          <w:rFonts w:ascii="仿宋_GB2312" w:eastAsia="仿宋_GB2312" w:hint="eastAsia"/>
          <w:sz w:val="32"/>
          <w:szCs w:val="32"/>
        </w:rPr>
        <w:t>个，全年预算数</w:t>
      </w:r>
      <w:r w:rsidR="000A263C">
        <w:rPr>
          <w:rFonts w:ascii="仿宋_GB2312" w:eastAsia="仿宋_GB2312" w:hint="eastAsia"/>
          <w:sz w:val="32"/>
          <w:szCs w:val="32"/>
        </w:rPr>
        <w:t>0.00</w:t>
      </w:r>
      <w:r>
        <w:rPr>
          <w:rFonts w:ascii="仿宋_GB2312" w:eastAsia="仿宋_GB2312" w:hint="eastAsia"/>
          <w:sz w:val="32"/>
          <w:szCs w:val="32"/>
        </w:rPr>
        <w:t>万元，全年执行数</w:t>
      </w:r>
      <w:r w:rsidR="000A263C">
        <w:rPr>
          <w:rFonts w:ascii="仿宋_GB2312" w:eastAsia="仿宋_GB2312" w:hint="eastAsia"/>
          <w:sz w:val="32"/>
          <w:szCs w:val="32"/>
        </w:rPr>
        <w:t>0.00</w:t>
      </w:r>
      <w:r>
        <w:rPr>
          <w:rFonts w:ascii="仿宋_GB2312" w:eastAsia="仿宋_GB2312" w:hint="eastAsia"/>
          <w:sz w:val="32"/>
          <w:szCs w:val="32"/>
        </w:rPr>
        <w:t>万元。</w:t>
      </w:r>
      <w:r w:rsidR="000A263C">
        <w:rPr>
          <w:rFonts w:ascii="仿宋_GB2312" w:eastAsia="仿宋_GB2312" w:hint="eastAsia"/>
          <w:sz w:val="32"/>
          <w:szCs w:val="32"/>
        </w:rPr>
        <w:t>预算绩效管理取</w:t>
      </w:r>
      <w:r w:rsidR="000A263C">
        <w:rPr>
          <w:rFonts w:ascii="仿宋_GB2312" w:eastAsia="仿宋_GB2312" w:hint="eastAsia"/>
          <w:sz w:val="32"/>
          <w:szCs w:val="32"/>
        </w:rPr>
        <w:lastRenderedPageBreak/>
        <w:t>得的成效：一是</w:t>
      </w:r>
      <w:r w:rsidR="000A263C">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0A263C">
        <w:rPr>
          <w:rFonts w:ascii="仿宋_GB2312" w:eastAsia="仿宋_GB2312" w:hint="eastAsia"/>
          <w:sz w:val="32"/>
          <w:szCs w:val="32"/>
        </w:rPr>
        <w:t>；二是</w:t>
      </w:r>
      <w:r w:rsidR="000A263C">
        <w:rPr>
          <w:rFonts w:ascii="仿宋_GB2312" w:eastAsia="仿宋_GB2312" w:hAnsi="宋体" w:hint="eastAsia"/>
          <w:bCs/>
          <w:sz w:val="32"/>
          <w:szCs w:val="32"/>
        </w:rPr>
        <w:t>结合我校实际情合理分配资金，以达到合理高效地运用资金、提升资金的产出效果、节约成本与资源、提高部门的办事效率的目的</w:t>
      </w:r>
      <w:r w:rsidR="000A263C">
        <w:rPr>
          <w:rFonts w:ascii="仿宋_GB2312" w:eastAsia="仿宋_GB2312" w:hint="eastAsia"/>
          <w:sz w:val="32"/>
          <w:szCs w:val="32"/>
        </w:rPr>
        <w:t>。发现的问题及原因：一是</w:t>
      </w:r>
      <w:r w:rsidR="000A263C">
        <w:rPr>
          <w:rFonts w:ascii="仿宋_GB2312" w:eastAsia="仿宋_GB2312" w:hAnsi="宋体" w:hint="eastAsia"/>
          <w:bCs/>
          <w:sz w:val="32"/>
          <w:szCs w:val="32"/>
        </w:rPr>
        <w:t>未健全公务卡强制结算目录，发生的差旅费、培训费等经费支出，除按规定实行财政直接支付或者银行转账外，应当使用公务卡结算，而不能通过个人银行卡进行核算和报销</w:t>
      </w:r>
      <w:r w:rsidR="000A263C">
        <w:rPr>
          <w:rFonts w:ascii="仿宋_GB2312" w:eastAsia="仿宋_GB2312" w:hint="eastAsia"/>
          <w:sz w:val="32"/>
          <w:szCs w:val="32"/>
        </w:rPr>
        <w:t>；二是</w:t>
      </w:r>
      <w:r w:rsidR="000A263C">
        <w:rPr>
          <w:rFonts w:ascii="仿宋_GB2312" w:eastAsia="仿宋_GB2312" w:hAnsi="宋体" w:hint="eastAsia"/>
          <w:bCs/>
          <w:sz w:val="32"/>
          <w:szCs w:val="32"/>
        </w:rPr>
        <w:t>未定期或者不定期对资产进行盘点、对账。出现资产盘盈盘亏，报废的因各种原因未及时做资产减少，出现账实不符和账</w:t>
      </w:r>
      <w:proofErr w:type="gramStart"/>
      <w:r w:rsidR="000A263C">
        <w:rPr>
          <w:rFonts w:ascii="仿宋_GB2312" w:eastAsia="仿宋_GB2312" w:hAnsi="宋体" w:hint="eastAsia"/>
          <w:bCs/>
          <w:sz w:val="32"/>
          <w:szCs w:val="32"/>
        </w:rPr>
        <w:t>账</w:t>
      </w:r>
      <w:proofErr w:type="gramEnd"/>
      <w:r w:rsidR="000A263C">
        <w:rPr>
          <w:rFonts w:ascii="仿宋_GB2312" w:eastAsia="仿宋_GB2312" w:hAnsi="宋体" w:hint="eastAsia"/>
          <w:bCs/>
          <w:sz w:val="32"/>
          <w:szCs w:val="32"/>
        </w:rPr>
        <w:t>不符的现象</w:t>
      </w:r>
      <w:r w:rsidR="000A263C">
        <w:rPr>
          <w:rFonts w:ascii="仿宋_GB2312" w:eastAsia="仿宋_GB2312" w:hint="eastAsia"/>
          <w:sz w:val="32"/>
          <w:szCs w:val="32"/>
        </w:rPr>
        <w:t>。下一步改进措施：一是</w:t>
      </w:r>
      <w:r w:rsidR="000A263C">
        <w:rPr>
          <w:rFonts w:ascii="仿宋_GB2312" w:eastAsia="仿宋_GB2312" w:hAnsi="宋体" w:hint="eastAsia"/>
          <w:bCs/>
          <w:sz w:val="32"/>
          <w:szCs w:val="32"/>
        </w:rPr>
        <w:t>加强财务管理，严把财务审批，加强单位财务管理，健全单位财务管理制度，规范财务行为，把制度落到实处</w:t>
      </w:r>
      <w:r w:rsidR="000A263C">
        <w:rPr>
          <w:rFonts w:ascii="仿宋_GB2312" w:eastAsia="仿宋_GB2312" w:hint="eastAsia"/>
          <w:sz w:val="32"/>
          <w:szCs w:val="32"/>
        </w:rPr>
        <w:t>；二是</w:t>
      </w:r>
      <w:r w:rsidR="000A263C">
        <w:rPr>
          <w:rFonts w:ascii="仿宋_GB2312" w:eastAsia="仿宋_GB2312" w:hAnsi="宋体" w:hint="eastAsia"/>
          <w:bCs/>
          <w:sz w:val="32"/>
          <w:szCs w:val="32"/>
        </w:rPr>
        <w:t>资产管理要对资产从取得到退出的全过程实施动态管理；应当定期或者不定期对资产进行盘点、对账应当按照财务、会计和资产管理制度有关规定处理，资产管理要做到四相符：账表相符、账</w:t>
      </w:r>
      <w:proofErr w:type="gramStart"/>
      <w:r w:rsidR="000A263C">
        <w:rPr>
          <w:rFonts w:ascii="仿宋_GB2312" w:eastAsia="仿宋_GB2312" w:hAnsi="宋体" w:hint="eastAsia"/>
          <w:bCs/>
          <w:sz w:val="32"/>
          <w:szCs w:val="32"/>
        </w:rPr>
        <w:t>账</w:t>
      </w:r>
      <w:proofErr w:type="gramEnd"/>
      <w:r w:rsidR="000A263C">
        <w:rPr>
          <w:rFonts w:ascii="仿宋_GB2312" w:eastAsia="仿宋_GB2312" w:hAnsi="宋体" w:hint="eastAsia"/>
          <w:bCs/>
          <w:sz w:val="32"/>
          <w:szCs w:val="32"/>
        </w:rPr>
        <w:t>相符、帐卡相符、账实相符</w:t>
      </w:r>
      <w:r>
        <w:rPr>
          <w:rFonts w:ascii="仿宋_GB2312" w:eastAsia="仿宋_GB2312" w:hint="eastAsia"/>
          <w:sz w:val="32"/>
          <w:szCs w:val="32"/>
        </w:rPr>
        <w:t>。具体项目自评情况附绩效自评表及自评报告。</w:t>
      </w:r>
    </w:p>
    <w:tbl>
      <w:tblPr>
        <w:tblW w:w="8716" w:type="dxa"/>
        <w:tblInd w:w="93" w:type="dxa"/>
        <w:tblLook w:val="04A0" w:firstRow="1" w:lastRow="0" w:firstColumn="1" w:lastColumn="0" w:noHBand="0" w:noVBand="1"/>
      </w:tblPr>
      <w:tblGrid>
        <w:gridCol w:w="1816"/>
        <w:gridCol w:w="1305"/>
        <w:gridCol w:w="1017"/>
        <w:gridCol w:w="1173"/>
        <w:gridCol w:w="1229"/>
        <w:gridCol w:w="707"/>
        <w:gridCol w:w="885"/>
        <w:gridCol w:w="585"/>
      </w:tblGrid>
      <w:tr w:rsidR="000A263C" w:rsidRPr="00070EEF" w14:paraId="7A247FB0" w14:textId="77777777" w:rsidTr="009A71B2">
        <w:trPr>
          <w:trHeight w:val="522"/>
        </w:trPr>
        <w:tc>
          <w:tcPr>
            <w:tcW w:w="871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2091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部门（单位）整体支出绩效目标自评表</w:t>
            </w:r>
          </w:p>
        </w:tc>
      </w:tr>
      <w:tr w:rsidR="000A263C" w:rsidRPr="00070EEF" w14:paraId="69C0112F" w14:textId="77777777" w:rsidTr="009A71B2">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43813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（2023年度）</w:t>
            </w:r>
          </w:p>
        </w:tc>
      </w:tr>
      <w:tr w:rsidR="000A263C" w:rsidRPr="00070EEF" w14:paraId="23AC4BB3" w14:textId="77777777" w:rsidTr="009A71B2">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6036D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lastRenderedPageBreak/>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252FE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木垒哈萨克自治县三明双语幼儿园</w:t>
            </w:r>
          </w:p>
        </w:tc>
      </w:tr>
      <w:tr w:rsidR="000A263C" w:rsidRPr="00070EEF" w14:paraId="0DB1CD2F" w14:textId="77777777" w:rsidTr="009A71B2">
        <w:trPr>
          <w:trHeight w:val="570"/>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E0D94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部门资金（万元）</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C956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资金来源</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C0F4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年初预算数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394A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全年预算数</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A8D6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全年执行数</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088B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分值权重</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A4A9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执行率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D83A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得分</w:t>
            </w:r>
          </w:p>
        </w:tc>
      </w:tr>
      <w:tr w:rsidR="000A263C" w:rsidRPr="00070EEF" w14:paraId="24047D22" w14:textId="77777777" w:rsidTr="009A71B2">
        <w:trPr>
          <w:trHeight w:val="88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193A3F"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C693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中央安排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E27C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9806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F80E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FF79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9B95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7160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2A1CBE98" w14:textId="77777777" w:rsidTr="009A71B2">
        <w:trPr>
          <w:trHeight w:val="88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41477C"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03A7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自治区安排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08A1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29.36</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E66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37.73</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8F67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37.73</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454A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F61B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41F9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0A263C" w:rsidRPr="00070EEF" w14:paraId="6E69E598" w14:textId="77777777" w:rsidTr="009A71B2">
        <w:trPr>
          <w:trHeight w:val="88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C8A5C9"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CDE5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地（州、市）安排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9C28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7E37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D6DB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8105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8301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B16E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0A263C" w:rsidRPr="00070EEF" w14:paraId="41213F07" w14:textId="77777777" w:rsidTr="009A71B2">
        <w:trPr>
          <w:trHeight w:val="88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99DDF8"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566B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县（市、区）安排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2121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770.1</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C91D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color w:val="000000"/>
                <w:kern w:val="0"/>
                <w:sz w:val="20"/>
                <w:szCs w:val="20"/>
                <w:lang w:bidi="ar"/>
              </w:rPr>
              <w:t>916.18</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483C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910.69</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067FF"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28165"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ADEC7"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r>
      <w:tr w:rsidR="000A263C" w:rsidRPr="00070EEF" w14:paraId="1BB9C5D5" w14:textId="77777777" w:rsidTr="009A71B2">
        <w:trPr>
          <w:trHeight w:val="88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7BB501"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BA97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其他资金</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0829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D835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5515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E462E"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728F4"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AF51A"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r>
      <w:tr w:rsidR="000A263C" w:rsidRPr="00070EEF" w14:paraId="13D5B32A" w14:textId="77777777" w:rsidTr="009A71B2">
        <w:trPr>
          <w:trHeight w:val="88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E7389F"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4071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合计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1340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799.46</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5EA9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color w:val="000000"/>
                <w:kern w:val="0"/>
                <w:sz w:val="20"/>
                <w:szCs w:val="20"/>
                <w:lang w:bidi="ar"/>
              </w:rPr>
              <w:t>953.91</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F72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948.42</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771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39FD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8104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0A263C" w:rsidRPr="00070EEF" w14:paraId="6E48CEF1" w14:textId="77777777" w:rsidTr="009A71B2">
        <w:trPr>
          <w:trHeight w:val="705"/>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47024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2F94E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70D28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实际完成情况</w:t>
            </w:r>
          </w:p>
        </w:tc>
      </w:tr>
      <w:tr w:rsidR="000A263C" w:rsidRPr="00070EEF" w14:paraId="5E00E120" w14:textId="77777777" w:rsidTr="009A71B2">
        <w:trPr>
          <w:trHeight w:val="660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37EE35"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34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EBA4E6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目标1：宣传贯彻执行党和国家的教育方针、政策、法律法规等坚持依法执教、依法治学，贯彻执行县教育局的行政规章制度；目标2：组织开展本园的教育教学改革，全力推进素质教育实施；目标3：按照学前教育课程计划，开齐课程，开足课时，认真实施学前的教育教学管理，全面推进学前教育，全面提高教育教学质量； 目标4：负责本园财务管理，筹措资金，改善办学条件等工作； 目标5：及时、足额的发放在职职工工资、缴纳社保等人员经费、离退休人员交通费、独生子女奖励金、保障幼儿园的正常运行。</w:t>
            </w:r>
          </w:p>
        </w:tc>
        <w:tc>
          <w:tcPr>
            <w:tcW w:w="355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C5FB07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我单位通过加强预算收支管理，不断建立健全内部管理制度，梳理内部管理流程，部门整体支出管理情况得到提升。我单位2023年部门单位预算执行率100%，部门整体绩效目标共设置一级指标6个，二级指标6个，三级指标9个，其中已完成三级指标9个，履职效能方面，我单位完成了全园323名幼儿均享受学前教育资助政策，2023年，幼儿园</w:t>
            </w:r>
            <w:proofErr w:type="gramStart"/>
            <w:r w:rsidRPr="00070EEF">
              <w:rPr>
                <w:rFonts w:asciiTheme="minorEastAsia" w:eastAsiaTheme="minorEastAsia" w:hAnsiTheme="minorEastAsia" w:cs="宋体" w:hint="eastAsia"/>
                <w:color w:val="000000"/>
                <w:kern w:val="0"/>
                <w:sz w:val="20"/>
                <w:szCs w:val="20"/>
                <w:lang w:bidi="ar"/>
              </w:rPr>
              <w:t>辖区内满3岁</w:t>
            </w:r>
            <w:proofErr w:type="gramEnd"/>
            <w:r w:rsidRPr="00070EEF">
              <w:rPr>
                <w:rFonts w:asciiTheme="minorEastAsia" w:eastAsiaTheme="minorEastAsia" w:hAnsiTheme="minorEastAsia" w:cs="宋体" w:hint="eastAsia"/>
                <w:color w:val="000000"/>
                <w:kern w:val="0"/>
                <w:sz w:val="20"/>
                <w:szCs w:val="20"/>
                <w:lang w:bidi="ar"/>
              </w:rPr>
              <w:t xml:space="preserve">儿童和残疾儿童入园率100%，实现应入尽入。建立了学籍档案，实行班级考勤制度，323名幼儿无辍学情况。 </w:t>
            </w:r>
            <w:r w:rsidRPr="00070EEF">
              <w:rPr>
                <w:rFonts w:asciiTheme="minorEastAsia" w:eastAsiaTheme="minorEastAsia" w:hAnsiTheme="minorEastAsia" w:cs="宋体" w:hint="eastAsia"/>
                <w:color w:val="000000"/>
                <w:kern w:val="0"/>
                <w:sz w:val="20"/>
                <w:szCs w:val="20"/>
                <w:lang w:bidi="ar"/>
              </w:rPr>
              <w:br/>
              <w:t>加强联盟共建，做好幼小衔接，提升保教质量制定落实联盟工作计划，落实联盟各项工作。与南平市实验幼儿园结对共建，开展“开放共融，携手同行”线上交流研讨活动，分享优质资源，促进两地交往、交流、交融。与昌吉州实验幼儿园签订结对帮扶协议，选派18名教师赴州实验</w:t>
            </w:r>
            <w:proofErr w:type="gramStart"/>
            <w:r w:rsidRPr="00070EEF">
              <w:rPr>
                <w:rFonts w:asciiTheme="minorEastAsia" w:eastAsiaTheme="minorEastAsia" w:hAnsiTheme="minorEastAsia" w:cs="宋体" w:hint="eastAsia"/>
                <w:color w:val="000000"/>
                <w:kern w:val="0"/>
                <w:sz w:val="20"/>
                <w:szCs w:val="20"/>
                <w:lang w:bidi="ar"/>
              </w:rPr>
              <w:t>幼儿园跟岗学习</w:t>
            </w:r>
            <w:proofErr w:type="gramEnd"/>
            <w:r w:rsidRPr="00070EEF">
              <w:rPr>
                <w:rFonts w:asciiTheme="minorEastAsia" w:eastAsiaTheme="minorEastAsia" w:hAnsiTheme="minorEastAsia" w:cs="宋体" w:hint="eastAsia"/>
                <w:color w:val="000000"/>
                <w:kern w:val="0"/>
                <w:sz w:val="20"/>
                <w:szCs w:val="20"/>
                <w:lang w:bidi="ar"/>
              </w:rPr>
              <w:t>，不断提升教师队伍专业能力。做好与</w:t>
            </w:r>
            <w:proofErr w:type="gramStart"/>
            <w:r w:rsidRPr="00070EEF">
              <w:rPr>
                <w:rFonts w:asciiTheme="minorEastAsia" w:eastAsiaTheme="minorEastAsia" w:hAnsiTheme="minorEastAsia" w:cs="宋体" w:hint="eastAsia"/>
                <w:color w:val="000000"/>
                <w:kern w:val="0"/>
                <w:sz w:val="20"/>
                <w:szCs w:val="20"/>
                <w:lang w:bidi="ar"/>
              </w:rPr>
              <w:t>州实幼</w:t>
            </w:r>
            <w:proofErr w:type="gramEnd"/>
            <w:r w:rsidRPr="00070EEF">
              <w:rPr>
                <w:rFonts w:asciiTheme="minorEastAsia" w:eastAsiaTheme="minorEastAsia" w:hAnsiTheme="minorEastAsia" w:cs="宋体" w:hint="eastAsia"/>
                <w:color w:val="000000"/>
                <w:kern w:val="0"/>
                <w:sz w:val="20"/>
                <w:szCs w:val="20"/>
                <w:lang w:bidi="ar"/>
              </w:rPr>
              <w:t>及下属三级联盟幼儿园之间的纵向联动，促进保教质量提升，推动联盟均衡发展。加强幼儿园与小学的科学双向衔接，分别与县一小和三小联合开展联动教研活动，加强幼小沟通交流，努力</w:t>
            </w:r>
            <w:proofErr w:type="gramStart"/>
            <w:r w:rsidRPr="00070EEF">
              <w:rPr>
                <w:rFonts w:asciiTheme="minorEastAsia" w:eastAsiaTheme="minorEastAsia" w:hAnsiTheme="minorEastAsia" w:cs="宋体" w:hint="eastAsia"/>
                <w:color w:val="000000"/>
                <w:kern w:val="0"/>
                <w:sz w:val="20"/>
                <w:szCs w:val="20"/>
                <w:lang w:bidi="ar"/>
              </w:rPr>
              <w:t>减缓学</w:t>
            </w:r>
            <w:proofErr w:type="gramEnd"/>
            <w:r w:rsidRPr="00070EEF">
              <w:rPr>
                <w:rFonts w:asciiTheme="minorEastAsia" w:eastAsiaTheme="minorEastAsia" w:hAnsiTheme="minorEastAsia" w:cs="宋体" w:hint="eastAsia"/>
                <w:color w:val="000000"/>
                <w:kern w:val="0"/>
                <w:sz w:val="20"/>
                <w:szCs w:val="20"/>
                <w:lang w:bidi="ar"/>
              </w:rPr>
              <w:t xml:space="preserve">段间的坡度，切实有效做好幼小衔接工作。做好家园共育工作，通过家长学校召开家长会7次，开展《家庭教育促进法》解读和“书记园长讲资助”活动，加强家园互动交流，促进幼儿健康发展。 </w:t>
            </w:r>
            <w:r w:rsidRPr="00070EEF">
              <w:rPr>
                <w:rFonts w:asciiTheme="minorEastAsia" w:eastAsiaTheme="minorEastAsia" w:hAnsiTheme="minorEastAsia" w:cs="宋体" w:hint="eastAsia"/>
                <w:color w:val="000000"/>
                <w:kern w:val="0"/>
                <w:sz w:val="20"/>
                <w:szCs w:val="20"/>
                <w:lang w:bidi="ar"/>
              </w:rPr>
              <w:br/>
              <w:t>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合理分配资金，以达到合理高效地运用资金、提升资金的产出效果、节约成本与资源、提高部门的办事效率</w:t>
            </w:r>
            <w:r w:rsidRPr="00070EEF">
              <w:rPr>
                <w:rFonts w:asciiTheme="minorEastAsia" w:eastAsiaTheme="minorEastAsia" w:hAnsiTheme="minorEastAsia" w:cs="宋体" w:hint="eastAsia"/>
                <w:color w:val="000000"/>
                <w:kern w:val="0"/>
                <w:sz w:val="20"/>
                <w:szCs w:val="20"/>
                <w:lang w:bidi="ar"/>
              </w:rPr>
              <w:lastRenderedPageBreak/>
              <w:t xml:space="preserve">的目的。在部门预算整体支出绩效方面都按规定严格执行，合理安排支出，使财政资金发挥出最大的效益。 </w:t>
            </w:r>
            <w:r w:rsidRPr="00070EEF">
              <w:rPr>
                <w:rFonts w:asciiTheme="minorEastAsia" w:eastAsiaTheme="minorEastAsia" w:hAnsiTheme="minorEastAsia" w:cs="宋体" w:hint="eastAsia"/>
                <w:color w:val="000000"/>
                <w:kern w:val="0"/>
                <w:sz w:val="20"/>
                <w:szCs w:val="20"/>
                <w:lang w:bidi="ar"/>
              </w:rPr>
              <w:br/>
              <w:t>本单位2023年度部门整体支出绩效完成情况良好。</w:t>
            </w:r>
          </w:p>
        </w:tc>
      </w:tr>
      <w:tr w:rsidR="000A263C" w:rsidRPr="00070EEF" w14:paraId="1E683781" w14:textId="77777777" w:rsidTr="009A71B2">
        <w:trPr>
          <w:trHeight w:val="580"/>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96F0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lastRenderedPageBreak/>
              <w:t>一级指标</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62B2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二级指标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334F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三级指标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C1F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预期指标值</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8E8D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指标值设定依据</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9698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分值权重</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24FB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实际完成指标值</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7DF2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得分</w:t>
            </w:r>
          </w:p>
        </w:tc>
      </w:tr>
      <w:tr w:rsidR="000A263C" w:rsidRPr="00070EEF" w14:paraId="0E2B0658" w14:textId="77777777" w:rsidTr="009A71B2">
        <w:trPr>
          <w:trHeight w:val="740"/>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6180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运行成本</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744E9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数量指标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7910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保障幼儿园办公人员数量</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2BC4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&gt;=40人</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D3B9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木垒县幼儿园机构改革方案</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312B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5</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2365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40人</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CBB5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5</w:t>
            </w:r>
          </w:p>
        </w:tc>
      </w:tr>
      <w:tr w:rsidR="000A263C" w:rsidRPr="00070EEF" w14:paraId="52120752" w14:textId="77777777" w:rsidTr="009A71B2">
        <w:trPr>
          <w:trHeight w:val="740"/>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F115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管理效率</w:t>
            </w: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6A3438"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1FF7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保障学前三年适龄幼儿人数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352A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&gt;=350人</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936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木垒县幼儿园2023年教学工作计划及幼儿学籍管理</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490A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D9C3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350人</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F1CD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7D174D77" w14:textId="77777777" w:rsidTr="009A71B2">
        <w:trPr>
          <w:trHeight w:val="740"/>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AFBCD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履职效能</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ED4F9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质量指标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31D8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教师培训参培率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FF34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47F4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木垒县幼儿园2023年教学工作计划及培训考勤</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2845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633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5F0E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5B34DEBB" w14:textId="77777777" w:rsidTr="009A71B2">
        <w:trPr>
          <w:trHeight w:val="74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03CAFD"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8F1005"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66DE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幼儿出勤率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4135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695D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木垒县幼儿园2023年教学工作计划及幼儿考勤</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F63D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74B2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517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42671E58" w14:textId="77777777" w:rsidTr="009A71B2">
        <w:trPr>
          <w:trHeight w:val="74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51A03A"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7C80F3"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BC6B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幼儿伙食保障率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4200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E289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木垒县幼儿园2023年教育资助扶贫计划</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8774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4EF2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8927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1B567923" w14:textId="77777777" w:rsidTr="009A71B2">
        <w:trPr>
          <w:trHeight w:val="74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03E46C"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EBD8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数量指标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9CA0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教师各类培训及学习次数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803E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&gt;=10次</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A5F7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木垒县幼儿园2023年教育教学工作计划</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DABC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2DC4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15次</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8C55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4DED57B4" w14:textId="77777777" w:rsidTr="009A71B2">
        <w:trPr>
          <w:trHeight w:val="740"/>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1FCD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社会效益</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DCF1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社会效益指标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C9B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受益学生人数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E922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&gt;=350人</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9E65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2023年幼儿园扶贫计划</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815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58B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350人</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55A1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03EABA20" w14:textId="77777777" w:rsidTr="009A71B2">
        <w:trPr>
          <w:trHeight w:val="740"/>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A753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可持续发展能力</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F0A1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可持续影响指标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2985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持续改善办学条件，提高幼儿园竞争力和办学能力，促进幼儿园可持续发展</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A9A0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=1年</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4756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木垒县幼儿园2023年工作计划</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9EA3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15</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AC6A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1年</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3AE8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15</w:t>
            </w:r>
          </w:p>
        </w:tc>
      </w:tr>
      <w:tr w:rsidR="000A263C" w:rsidRPr="00070EEF" w14:paraId="677B8F03" w14:textId="77777777" w:rsidTr="009A71B2">
        <w:trPr>
          <w:trHeight w:val="740"/>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30BA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服务对象满意度</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20D8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质量指标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EFA4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家长满意度</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4024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950F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木垒县幼儿园2023年满意度测评</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4CE0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1C83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C1EE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bl>
    <w:p w14:paraId="73D2F6C0" w14:textId="77777777" w:rsidR="000A263C" w:rsidRDefault="000A263C">
      <w:pPr>
        <w:ind w:firstLineChars="200" w:firstLine="640"/>
        <w:jc w:val="left"/>
        <w:rPr>
          <w:rFonts w:ascii="仿宋_GB2312" w:eastAsia="仿宋_GB2312"/>
          <w:sz w:val="32"/>
          <w:szCs w:val="32"/>
        </w:rPr>
      </w:pPr>
    </w:p>
    <w:p w14:paraId="5B30128D" w14:textId="77777777" w:rsidR="0099240C"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E4496AB" w14:textId="60B4B7BC" w:rsidR="0099240C"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A263C">
        <w:rPr>
          <w:rFonts w:ascii="仿宋_GB2312" w:eastAsia="仿宋_GB2312" w:hAnsi="仿宋_GB2312" w:cs="仿宋_GB2312" w:hint="eastAsia"/>
          <w:kern w:val="0"/>
          <w:sz w:val="32"/>
          <w:szCs w:val="32"/>
        </w:rPr>
        <w:t>。</w:t>
      </w:r>
    </w:p>
    <w:p w14:paraId="41710ABE" w14:textId="77777777" w:rsidR="0099240C"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8B5F491"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7741479"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B424FD4"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9FD6B1A"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A02C4A6"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73EE5FB"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3098135"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AEC2D7"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75A439"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929EAC2"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81FFC55" w14:textId="77777777" w:rsidR="0099240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E1FF2EA" w14:textId="77777777" w:rsidR="0099240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AB6D107" w14:textId="77777777" w:rsidR="0099240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27DC11A" w14:textId="77777777" w:rsidR="0099240C"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D65C7D3" w14:textId="77777777" w:rsidR="0099240C"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4AFF17F" w14:textId="77777777" w:rsidR="0099240C"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CD07B1E" w14:textId="77777777" w:rsidR="0099240C"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50FE98A" w14:textId="77777777" w:rsidR="0099240C"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E7F4373" w14:textId="77777777" w:rsidR="0099240C"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34B7755" w14:textId="77777777" w:rsidR="0099240C"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12DC894" w14:textId="77777777" w:rsidR="0099240C"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474A14C" w14:textId="77777777" w:rsidR="0099240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95C97AF" w14:textId="77777777" w:rsidR="0099240C"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033DB74" w14:textId="77777777" w:rsidR="0099240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076EAE6" w14:textId="77777777" w:rsidR="0099240C" w:rsidRDefault="0099240C">
      <w:pPr>
        <w:ind w:firstLineChars="200" w:firstLine="640"/>
        <w:rPr>
          <w:rFonts w:ascii="仿宋_GB2312" w:eastAsia="仿宋_GB2312"/>
          <w:sz w:val="32"/>
          <w:szCs w:val="32"/>
        </w:rPr>
      </w:pPr>
    </w:p>
    <w:p w14:paraId="2D1E59C4" w14:textId="77777777" w:rsidR="0099240C" w:rsidRDefault="0099240C">
      <w:pPr>
        <w:ind w:firstLineChars="200" w:firstLine="640"/>
        <w:outlineLvl w:val="1"/>
        <w:rPr>
          <w:rFonts w:ascii="黑体" w:eastAsia="黑体" w:hAnsi="黑体" w:cs="宋体" w:hint="eastAsia"/>
          <w:bCs/>
          <w:kern w:val="0"/>
          <w:sz w:val="32"/>
          <w:szCs w:val="32"/>
        </w:rPr>
      </w:pPr>
    </w:p>
    <w:sectPr w:rsidR="0099240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11784" w14:textId="77777777" w:rsidR="0006265C" w:rsidRDefault="0006265C">
      <w:r>
        <w:separator/>
      </w:r>
    </w:p>
  </w:endnote>
  <w:endnote w:type="continuationSeparator" w:id="0">
    <w:p w14:paraId="3E353639" w14:textId="77777777" w:rsidR="0006265C" w:rsidRDefault="0006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CE3DE" w14:textId="77777777" w:rsidR="0099240C" w:rsidRDefault="00000000">
    <w:pPr>
      <w:pStyle w:val="a4"/>
    </w:pPr>
    <w:r>
      <w:rPr>
        <w:noProof/>
      </w:rPr>
      <mc:AlternateContent>
        <mc:Choice Requires="wps">
          <w:drawing>
            <wp:anchor distT="0" distB="0" distL="114300" distR="114300" simplePos="0" relativeHeight="251659264" behindDoc="0" locked="0" layoutInCell="1" allowOverlap="1" wp14:anchorId="7346D6AC" wp14:editId="7FA669D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3813FC" w14:textId="77777777" w:rsidR="0099240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346D6A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E3813FC" w14:textId="77777777" w:rsidR="0099240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B1FA4" w14:textId="77777777" w:rsidR="0006265C" w:rsidRDefault="0006265C">
      <w:r>
        <w:separator/>
      </w:r>
    </w:p>
  </w:footnote>
  <w:footnote w:type="continuationSeparator" w:id="0">
    <w:p w14:paraId="39DBA961" w14:textId="77777777" w:rsidR="0006265C" w:rsidRDefault="000626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493498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9240C"/>
    <w:rsid w:val="0006265C"/>
    <w:rsid w:val="000A263C"/>
    <w:rsid w:val="00213C59"/>
    <w:rsid w:val="003210CE"/>
    <w:rsid w:val="00752F88"/>
    <w:rsid w:val="0099240C"/>
    <w:rsid w:val="00AE3C32"/>
    <w:rsid w:val="00B70D59"/>
    <w:rsid w:val="00BF05F1"/>
    <w:rsid w:val="00C6420D"/>
    <w:rsid w:val="00C67521"/>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81A301"/>
  <w15:docId w15:val="{33CC4034-DD3F-40AA-9370-49BCDF0A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1237</Words>
  <Characters>7055</Characters>
  <Application>Microsoft Office Word</Application>
  <DocSecurity>0</DocSecurity>
  <Lines>58</Lines>
  <Paragraphs>16</Paragraphs>
  <ScaleCrop>false</ScaleCrop>
  <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3</cp:revision>
  <dcterms:created xsi:type="dcterms:W3CDTF">2014-10-29T12:08:00Z</dcterms:created>
  <dcterms:modified xsi:type="dcterms:W3CDTF">2024-08-19T05:07:00Z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